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38953" w:themeColor="background2" w:themeShade="7F"/>
  <w:body>
    <w:p w:rsidR="00184002" w:rsidRDefault="00C77AD0" w:rsidP="00DF1E0A">
      <w:pPr>
        <w:pBdr>
          <w:bottom w:val="single" w:sz="6" w:space="0" w:color="A2A9B1"/>
        </w:pBdr>
        <w:spacing w:after="6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lang w:eastAsia="it-IT"/>
        </w:rPr>
      </w:pPr>
      <w:bookmarkStart w:id="0" w:name="_GoBack"/>
      <w:bookmarkEnd w:id="0"/>
      <w:r w:rsidRPr="00C77AD0">
        <w:rPr>
          <w:rFonts w:ascii="Arial" w:eastAsia="Times New Roman" w:hAnsi="Arial" w:cs="Arial"/>
          <w:b/>
          <w:color w:val="000000"/>
          <w:kern w:val="36"/>
          <w:sz w:val="28"/>
          <w:lang w:eastAsia="it-IT"/>
        </w:rPr>
        <w:t>Pontificio consiglio per il dialogo interreligioso</w:t>
      </w:r>
      <w:r w:rsidR="00184002" w:rsidRPr="00184002">
        <w:rPr>
          <w:rFonts w:ascii="Arial" w:eastAsia="Times New Roman" w:hAnsi="Arial" w:cs="Arial"/>
          <w:color w:val="000000"/>
          <w:kern w:val="36"/>
          <w:sz w:val="28"/>
          <w:lang w:eastAsia="it-IT"/>
        </w:rPr>
        <w:t xml:space="preserve">    </w:t>
      </w:r>
      <w:r w:rsidR="0040775F">
        <w:rPr>
          <w:rFonts w:ascii="Arial" w:eastAsia="Times New Roman" w:hAnsi="Arial" w:cs="Arial"/>
          <w:noProof/>
          <w:color w:val="000000"/>
          <w:kern w:val="36"/>
          <w:sz w:val="28"/>
          <w:lang w:eastAsia="it-IT"/>
        </w:rPr>
        <w:drawing>
          <wp:inline distT="0" distB="0" distL="0" distR="0">
            <wp:extent cx="1789430" cy="2552700"/>
            <wp:effectExtent l="0" t="0" r="1270" b="0"/>
            <wp:docPr id="3" name="Immagine 3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AD0" w:rsidRPr="00C77AD0" w:rsidRDefault="00184002" w:rsidP="00DF1E0A">
      <w:pPr>
        <w:pBdr>
          <w:bottom w:val="single" w:sz="6" w:space="0" w:color="A2A9B1"/>
        </w:pBdr>
        <w:spacing w:after="6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lang w:eastAsia="it-IT"/>
        </w:rPr>
      </w:pPr>
      <w:r>
        <w:rPr>
          <w:rFonts w:ascii="Arial" w:eastAsia="Times New Roman" w:hAnsi="Arial" w:cs="Arial"/>
          <w:color w:val="000000"/>
          <w:kern w:val="36"/>
          <w:lang w:eastAsia="it-IT"/>
        </w:rPr>
        <w:t xml:space="preserve"> </w:t>
      </w:r>
      <w:r w:rsidRPr="001840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77AD0" w:rsidRPr="003D464D" w:rsidRDefault="003D464D" w:rsidP="00C77AD0">
      <w:pPr>
        <w:spacing w:before="120" w:after="120" w:line="240" w:lineRule="auto"/>
        <w:rPr>
          <w:rFonts w:ascii="Arial" w:eastAsia="Times New Roman" w:hAnsi="Arial" w:cs="Arial"/>
          <w:color w:val="D9D9D9" w:themeColor="background1" w:themeShade="D9"/>
          <w:lang w:eastAsia="it-IT"/>
        </w:rPr>
      </w:pPr>
      <w:r w:rsidRPr="003D464D">
        <w:rPr>
          <w:rFonts w:ascii="Arial" w:eastAsia="Times New Roman" w:hAnsi="Arial" w:cs="Arial"/>
          <w:color w:val="D9D9D9" w:themeColor="background1" w:themeShade="D9"/>
          <w:lang w:eastAsia="it-IT"/>
        </w:rPr>
        <w:t xml:space="preserve">Fino al </w:t>
      </w:r>
      <w:hyperlink r:id="rId8" w:tooltip="1988" w:history="1">
        <w:r w:rsidRPr="003D464D">
          <w:rPr>
            <w:rFonts w:ascii="Arial" w:eastAsia="Times New Roman" w:hAnsi="Arial" w:cs="Arial"/>
            <w:color w:val="D9D9D9" w:themeColor="background1" w:themeShade="D9"/>
            <w:lang w:eastAsia="it-IT"/>
          </w:rPr>
          <w:t>1988</w:t>
        </w:r>
      </w:hyperlink>
      <w:r w:rsidRPr="003D464D">
        <w:rPr>
          <w:rFonts w:ascii="Arial" w:eastAsia="Times New Roman" w:hAnsi="Arial" w:cs="Arial"/>
          <w:color w:val="D9D9D9" w:themeColor="background1" w:themeShade="D9"/>
          <w:lang w:eastAsia="it-IT"/>
        </w:rPr>
        <w:t xml:space="preserve"> </w:t>
      </w:r>
      <w:r w:rsidRPr="00C77AD0">
        <w:rPr>
          <w:rFonts w:ascii="Arial" w:eastAsia="Times New Roman" w:hAnsi="Arial" w:cs="Arial"/>
          <w:color w:val="D9D9D9" w:themeColor="background1" w:themeShade="D9"/>
          <w:lang w:eastAsia="it-IT"/>
        </w:rPr>
        <w:t>"Segretariato per i non cristiani"</w:t>
      </w:r>
      <w:r w:rsidRPr="003D464D">
        <w:rPr>
          <w:rFonts w:ascii="Arial" w:eastAsia="Times New Roman" w:hAnsi="Arial" w:cs="Arial"/>
          <w:color w:val="D9D9D9" w:themeColor="background1" w:themeShade="D9"/>
          <w:lang w:eastAsia="it-IT"/>
        </w:rPr>
        <w:t xml:space="preserve">, </w:t>
      </w:r>
      <w:r>
        <w:rPr>
          <w:rFonts w:ascii="Arial" w:eastAsia="Times New Roman" w:hAnsi="Arial" w:cs="Arial"/>
          <w:color w:val="D9D9D9" w:themeColor="background1" w:themeShade="D9"/>
          <w:lang w:eastAsia="it-IT"/>
        </w:rPr>
        <w:t>il</w:t>
      </w:r>
      <w:r w:rsidR="00C77AD0" w:rsidRPr="003D464D">
        <w:rPr>
          <w:rFonts w:ascii="Arial" w:eastAsia="Times New Roman" w:hAnsi="Arial" w:cs="Arial"/>
          <w:color w:val="D9D9D9" w:themeColor="background1" w:themeShade="D9"/>
          <w:lang w:eastAsia="it-IT"/>
        </w:rPr>
        <w:t> </w:t>
      </w:r>
      <w:r w:rsidR="00C77AD0" w:rsidRPr="00C77AD0">
        <w:rPr>
          <w:rFonts w:ascii="Arial" w:eastAsia="Times New Roman" w:hAnsi="Arial" w:cs="Arial"/>
          <w:b/>
          <w:bCs/>
          <w:color w:val="D9D9D9" w:themeColor="background1" w:themeShade="D9"/>
          <w:lang w:eastAsia="it-IT"/>
        </w:rPr>
        <w:t>Pontificio consiglio per il dialogo interreligioso</w:t>
      </w:r>
      <w:r w:rsidR="00C77AD0" w:rsidRPr="003D464D">
        <w:rPr>
          <w:rFonts w:ascii="Arial" w:eastAsia="Times New Roman" w:hAnsi="Arial" w:cs="Arial"/>
          <w:color w:val="D9D9D9" w:themeColor="background1" w:themeShade="D9"/>
          <w:lang w:eastAsia="it-IT"/>
        </w:rPr>
        <w:t> </w:t>
      </w:r>
      <w:r w:rsidR="00C77AD0" w:rsidRPr="00C77AD0">
        <w:rPr>
          <w:rFonts w:ascii="Arial" w:eastAsia="Times New Roman" w:hAnsi="Arial" w:cs="Arial"/>
          <w:color w:val="D9D9D9" w:themeColor="background1" w:themeShade="D9"/>
          <w:lang w:eastAsia="it-IT"/>
        </w:rPr>
        <w:t xml:space="preserve"> </w:t>
      </w:r>
      <w:r>
        <w:rPr>
          <w:rFonts w:ascii="Arial" w:eastAsia="Times New Roman" w:hAnsi="Arial" w:cs="Arial"/>
          <w:color w:val="D9D9D9" w:themeColor="background1" w:themeShade="D9"/>
          <w:lang w:eastAsia="it-IT"/>
        </w:rPr>
        <w:t>fu eretto il</w:t>
      </w:r>
      <w:r w:rsidR="00C77AD0" w:rsidRPr="003D464D">
        <w:rPr>
          <w:rFonts w:ascii="Arial" w:eastAsia="Times New Roman" w:hAnsi="Arial" w:cs="Arial"/>
          <w:b/>
          <w:bCs/>
          <w:color w:val="D9D9D9" w:themeColor="background1" w:themeShade="D9"/>
          <w:lang w:eastAsia="it-IT"/>
        </w:rPr>
        <w:t xml:space="preserve"> </w:t>
      </w:r>
      <w:r w:rsidR="00C77AD0" w:rsidRPr="00C77AD0">
        <w:rPr>
          <w:rFonts w:ascii="Arial" w:eastAsia="Times New Roman" w:hAnsi="Arial" w:cs="Arial"/>
          <w:color w:val="D9D9D9" w:themeColor="background1" w:themeShade="D9"/>
          <w:lang w:eastAsia="it-IT"/>
        </w:rPr>
        <w:t>17 maggio</w:t>
      </w:r>
      <w:r w:rsidR="00C77AD0" w:rsidRPr="003D464D">
        <w:rPr>
          <w:rFonts w:ascii="Arial" w:eastAsia="Times New Roman" w:hAnsi="Arial" w:cs="Arial"/>
          <w:color w:val="D9D9D9" w:themeColor="background1" w:themeShade="D9"/>
          <w:lang w:eastAsia="it-IT"/>
        </w:rPr>
        <w:t> </w:t>
      </w:r>
      <w:hyperlink r:id="rId9" w:tooltip="1964" w:history="1">
        <w:r w:rsidR="00C77AD0" w:rsidRPr="003D464D">
          <w:rPr>
            <w:rFonts w:ascii="Arial" w:eastAsia="Times New Roman" w:hAnsi="Arial" w:cs="Arial"/>
            <w:color w:val="D9D9D9" w:themeColor="background1" w:themeShade="D9"/>
            <w:lang w:eastAsia="it-IT"/>
          </w:rPr>
          <w:t>1964</w:t>
        </w:r>
      </w:hyperlink>
      <w:r w:rsidR="00C77AD0" w:rsidRPr="003D464D">
        <w:rPr>
          <w:rFonts w:ascii="Arial" w:eastAsia="Times New Roman" w:hAnsi="Arial" w:cs="Arial"/>
          <w:color w:val="D9D9D9" w:themeColor="background1" w:themeShade="D9"/>
          <w:lang w:eastAsia="it-IT"/>
        </w:rPr>
        <w:t xml:space="preserve"> da </w:t>
      </w:r>
      <w:hyperlink r:id="rId10" w:tooltip="Papa Paolo VI" w:history="1">
        <w:r w:rsidR="00C77AD0" w:rsidRPr="003D464D">
          <w:rPr>
            <w:rFonts w:ascii="Arial" w:eastAsia="Times New Roman" w:hAnsi="Arial" w:cs="Arial"/>
            <w:color w:val="D9D9D9" w:themeColor="background1" w:themeShade="D9"/>
            <w:lang w:eastAsia="it-IT"/>
          </w:rPr>
          <w:t>Paolo VI</w:t>
        </w:r>
      </w:hyperlink>
      <w:r w:rsidR="00C77AD0" w:rsidRPr="003D464D">
        <w:rPr>
          <w:rFonts w:ascii="Arial" w:eastAsia="Times New Roman" w:hAnsi="Arial" w:cs="Arial"/>
          <w:color w:val="D9D9D9" w:themeColor="background1" w:themeShade="D9"/>
          <w:lang w:eastAsia="it-IT"/>
        </w:rPr>
        <w:t>.</w:t>
      </w:r>
    </w:p>
    <w:p w:rsidR="00C77AD0" w:rsidRPr="00C77AD0" w:rsidRDefault="003D464D" w:rsidP="00F648F9">
      <w:pPr>
        <w:spacing w:before="100" w:beforeAutospacing="1" w:after="24" w:line="240" w:lineRule="auto"/>
        <w:rPr>
          <w:rFonts w:ascii="Arial" w:eastAsia="Times New Roman" w:hAnsi="Arial" w:cs="Arial"/>
          <w:color w:val="D9D9D9" w:themeColor="background1" w:themeShade="D9"/>
          <w:lang w:eastAsia="it-IT"/>
        </w:rPr>
      </w:pPr>
      <w:r>
        <w:rPr>
          <w:rFonts w:ascii="Arial" w:eastAsia="Times New Roman" w:hAnsi="Arial" w:cs="Arial"/>
          <w:color w:val="D9D9D9" w:themeColor="background1" w:themeShade="D9"/>
          <w:lang w:eastAsia="it-IT"/>
        </w:rPr>
        <w:t>H</w:t>
      </w:r>
      <w:r w:rsidR="00C77AD0" w:rsidRPr="003D464D">
        <w:rPr>
          <w:rFonts w:ascii="Arial" w:eastAsia="Times New Roman" w:hAnsi="Arial" w:cs="Arial"/>
          <w:color w:val="D9D9D9" w:themeColor="background1" w:themeShade="D9"/>
          <w:lang w:eastAsia="it-IT"/>
        </w:rPr>
        <w:t xml:space="preserve">a come finalità </w:t>
      </w:r>
      <w:r w:rsidR="00C77AD0" w:rsidRPr="00C77AD0">
        <w:rPr>
          <w:rFonts w:ascii="Arial" w:eastAsia="Times New Roman" w:hAnsi="Arial" w:cs="Arial"/>
          <w:color w:val="D9D9D9" w:themeColor="background1" w:themeShade="D9"/>
          <w:lang w:eastAsia="it-IT"/>
        </w:rPr>
        <w:t xml:space="preserve">la </w:t>
      </w:r>
      <w:r w:rsidR="00DF1E0A" w:rsidRPr="003D464D">
        <w:rPr>
          <w:rFonts w:ascii="Arial" w:eastAsia="Times New Roman" w:hAnsi="Arial" w:cs="Arial"/>
          <w:color w:val="943634" w:themeColor="accent2" w:themeShade="BF"/>
          <w:lang w:eastAsia="it-IT"/>
        </w:rPr>
        <w:t xml:space="preserve">mutua comprensione </w:t>
      </w:r>
      <w:r w:rsidR="00C77AD0" w:rsidRPr="00C77AD0">
        <w:rPr>
          <w:rFonts w:ascii="Arial" w:eastAsia="Times New Roman" w:hAnsi="Arial" w:cs="Arial"/>
          <w:color w:val="943634" w:themeColor="accent2" w:themeShade="BF"/>
          <w:lang w:eastAsia="it-IT"/>
        </w:rPr>
        <w:t>fra</w:t>
      </w:r>
      <w:r w:rsidR="00DF1E0A" w:rsidRPr="003D464D">
        <w:rPr>
          <w:rFonts w:ascii="Arial" w:eastAsia="Times New Roman" w:hAnsi="Arial" w:cs="Arial"/>
          <w:color w:val="943634" w:themeColor="accent2" w:themeShade="BF"/>
          <w:lang w:eastAsia="it-IT"/>
        </w:rPr>
        <w:t xml:space="preserve"> </w:t>
      </w:r>
      <w:hyperlink r:id="rId11" w:tooltip="Cattolicesimo" w:history="1">
        <w:r w:rsidR="00C77AD0" w:rsidRPr="003D464D">
          <w:rPr>
            <w:rFonts w:ascii="Arial" w:eastAsia="Times New Roman" w:hAnsi="Arial" w:cs="Arial"/>
            <w:color w:val="943634" w:themeColor="accent2" w:themeShade="BF"/>
            <w:lang w:eastAsia="it-IT"/>
          </w:rPr>
          <w:t>cattolici</w:t>
        </w:r>
      </w:hyperlink>
      <w:r w:rsidR="00C77AD0" w:rsidRPr="003D464D">
        <w:rPr>
          <w:rFonts w:ascii="Arial" w:eastAsia="Times New Roman" w:hAnsi="Arial" w:cs="Arial"/>
          <w:color w:val="943634" w:themeColor="accent2" w:themeShade="BF"/>
          <w:lang w:eastAsia="it-IT"/>
        </w:rPr>
        <w:t> </w:t>
      </w:r>
      <w:r w:rsidR="00C77AD0" w:rsidRPr="00C77AD0">
        <w:rPr>
          <w:rFonts w:ascii="Arial" w:eastAsia="Times New Roman" w:hAnsi="Arial" w:cs="Arial"/>
          <w:color w:val="943634" w:themeColor="accent2" w:themeShade="BF"/>
          <w:lang w:eastAsia="it-IT"/>
        </w:rPr>
        <w:t>e seguaci di altre tradizioni religiose</w:t>
      </w:r>
      <w:r w:rsidR="00DF1E0A" w:rsidRPr="003D464D">
        <w:rPr>
          <w:rFonts w:ascii="Arial" w:eastAsia="Times New Roman" w:hAnsi="Arial" w:cs="Arial"/>
          <w:color w:val="D9D9D9" w:themeColor="background1" w:themeShade="D9"/>
          <w:lang w:eastAsia="it-IT"/>
        </w:rPr>
        <w:t xml:space="preserve">, anche attraverso </w:t>
      </w:r>
      <w:r w:rsidR="00C77AD0" w:rsidRPr="00C77AD0">
        <w:rPr>
          <w:rFonts w:ascii="Arial" w:eastAsia="Times New Roman" w:hAnsi="Arial" w:cs="Arial"/>
          <w:color w:val="D9D9D9" w:themeColor="background1" w:themeShade="D9"/>
          <w:lang w:eastAsia="it-IT"/>
        </w:rPr>
        <w:t xml:space="preserve">lo </w:t>
      </w:r>
      <w:r w:rsidR="00C77AD0" w:rsidRPr="00C77AD0">
        <w:rPr>
          <w:rFonts w:ascii="Arial" w:eastAsia="Times New Roman" w:hAnsi="Arial" w:cs="Arial"/>
          <w:color w:val="943634" w:themeColor="accent2" w:themeShade="BF"/>
          <w:lang w:eastAsia="it-IT"/>
        </w:rPr>
        <w:t>studio delle religioni</w:t>
      </w:r>
      <w:r w:rsidR="00DF1E0A" w:rsidRPr="003D464D">
        <w:rPr>
          <w:rFonts w:ascii="Arial" w:eastAsia="Times New Roman" w:hAnsi="Arial" w:cs="Arial"/>
          <w:color w:val="943634" w:themeColor="accent2" w:themeShade="BF"/>
          <w:lang w:eastAsia="it-IT"/>
        </w:rPr>
        <w:t xml:space="preserve"> </w:t>
      </w:r>
      <w:r w:rsidR="00DF1E0A" w:rsidRPr="003D464D">
        <w:rPr>
          <w:rFonts w:ascii="Arial" w:eastAsia="Times New Roman" w:hAnsi="Arial" w:cs="Arial"/>
          <w:color w:val="D9D9D9" w:themeColor="background1" w:themeShade="D9"/>
          <w:lang w:eastAsia="it-IT"/>
        </w:rPr>
        <w:t xml:space="preserve">e la </w:t>
      </w:r>
      <w:r w:rsidR="00DF1E0A" w:rsidRPr="003D464D">
        <w:rPr>
          <w:rFonts w:ascii="Arial" w:eastAsia="Times New Roman" w:hAnsi="Arial" w:cs="Arial"/>
          <w:color w:val="943634" w:themeColor="accent2" w:themeShade="BF"/>
          <w:lang w:eastAsia="it-IT"/>
        </w:rPr>
        <w:t>formazione</w:t>
      </w:r>
      <w:r w:rsidR="00DF1E0A" w:rsidRPr="00C77AD0">
        <w:rPr>
          <w:rFonts w:ascii="Arial" w:eastAsia="Times New Roman" w:hAnsi="Arial" w:cs="Arial"/>
          <w:color w:val="D9D9D9" w:themeColor="background1" w:themeShade="D9"/>
          <w:lang w:eastAsia="it-IT"/>
        </w:rPr>
        <w:t>.</w:t>
      </w:r>
    </w:p>
    <w:p w:rsidR="00C77AD0" w:rsidRPr="003D464D" w:rsidRDefault="003D464D" w:rsidP="00DF1E0A">
      <w:pPr>
        <w:spacing w:before="100" w:beforeAutospacing="1" w:after="24" w:line="240" w:lineRule="auto"/>
        <w:rPr>
          <w:rFonts w:ascii="Arial" w:eastAsia="Times New Roman" w:hAnsi="Arial" w:cs="Arial"/>
          <w:color w:val="D9D9D9" w:themeColor="background1" w:themeShade="D9"/>
          <w:lang w:eastAsia="it-IT"/>
        </w:rPr>
      </w:pPr>
      <w:r w:rsidRPr="00C77AD0">
        <w:rPr>
          <w:rFonts w:ascii="Arial" w:eastAsia="Times New Roman" w:hAnsi="Arial" w:cs="Arial"/>
          <w:i/>
          <w:iCs/>
          <w:color w:val="943634" w:themeColor="accent2" w:themeShade="BF"/>
          <w:lang w:eastAsia="it-IT"/>
        </w:rPr>
        <w:t>Dialogo e annuncio</w:t>
      </w:r>
      <w:r w:rsidRPr="003D464D">
        <w:rPr>
          <w:rFonts w:ascii="Arial" w:eastAsia="Times New Roman" w:hAnsi="Arial" w:cs="Arial"/>
          <w:color w:val="D9D9D9" w:themeColor="background1" w:themeShade="D9"/>
          <w:lang w:eastAsia="it-IT"/>
        </w:rPr>
        <w:t xml:space="preserve">. </w:t>
      </w:r>
      <w:r w:rsidR="00DF1E0A" w:rsidRPr="003D464D">
        <w:rPr>
          <w:rFonts w:ascii="Arial" w:eastAsia="Times New Roman" w:hAnsi="Arial" w:cs="Arial"/>
          <w:color w:val="D9D9D9" w:themeColor="background1" w:themeShade="D9"/>
          <w:lang w:eastAsia="it-IT"/>
        </w:rPr>
        <w:t>Il dialogo n</w:t>
      </w:r>
      <w:r w:rsidR="00DF1E0A" w:rsidRPr="00C77AD0">
        <w:rPr>
          <w:rFonts w:ascii="Arial" w:eastAsia="Times New Roman" w:hAnsi="Arial" w:cs="Arial"/>
          <w:color w:val="D9D9D9" w:themeColor="background1" w:themeShade="D9"/>
          <w:lang w:eastAsia="it-IT"/>
        </w:rPr>
        <w:t xml:space="preserve">on è un tradimento della missione della Chiesa, </w:t>
      </w:r>
      <w:r w:rsidR="00DF1E0A" w:rsidRPr="003D464D">
        <w:rPr>
          <w:rFonts w:ascii="Arial" w:eastAsia="Times New Roman" w:hAnsi="Arial" w:cs="Arial"/>
          <w:color w:val="D9D9D9" w:themeColor="background1" w:themeShade="D9"/>
          <w:lang w:eastAsia="it-IT"/>
        </w:rPr>
        <w:t>né</w:t>
      </w:r>
      <w:r w:rsidR="00DF1E0A" w:rsidRPr="00C77AD0">
        <w:rPr>
          <w:rFonts w:ascii="Arial" w:eastAsia="Times New Roman" w:hAnsi="Arial" w:cs="Arial"/>
          <w:color w:val="D9D9D9" w:themeColor="background1" w:themeShade="D9"/>
          <w:lang w:eastAsia="it-IT"/>
        </w:rPr>
        <w:t xml:space="preserve"> un nuovo metodo di conversione alla cristianità</w:t>
      </w:r>
      <w:r w:rsidR="00DF1E0A" w:rsidRPr="003D464D">
        <w:rPr>
          <w:rFonts w:ascii="Arial" w:eastAsia="Times New Roman" w:hAnsi="Arial" w:cs="Arial"/>
          <w:color w:val="D9D9D9" w:themeColor="background1" w:themeShade="D9"/>
          <w:lang w:eastAsia="it-IT"/>
        </w:rPr>
        <w:t xml:space="preserve">. É </w:t>
      </w:r>
      <w:r w:rsidR="00C77AD0" w:rsidRPr="00C77AD0">
        <w:rPr>
          <w:rFonts w:ascii="Arial" w:eastAsia="Times New Roman" w:hAnsi="Arial" w:cs="Arial"/>
          <w:color w:val="D9D9D9" w:themeColor="background1" w:themeShade="D9"/>
          <w:lang w:eastAsia="it-IT"/>
        </w:rPr>
        <w:t xml:space="preserve">testimonianza della propria fede </w:t>
      </w:r>
      <w:r>
        <w:rPr>
          <w:rFonts w:ascii="Arial" w:eastAsia="Times New Roman" w:hAnsi="Arial" w:cs="Arial"/>
          <w:color w:val="D9D9D9" w:themeColor="background1" w:themeShade="D9"/>
          <w:lang w:eastAsia="it-IT"/>
        </w:rPr>
        <w:t>nell’</w:t>
      </w:r>
      <w:r w:rsidR="00C77AD0" w:rsidRPr="00C77AD0">
        <w:rPr>
          <w:rFonts w:ascii="Arial" w:eastAsia="Times New Roman" w:hAnsi="Arial" w:cs="Arial"/>
          <w:color w:val="D9D9D9" w:themeColor="background1" w:themeShade="D9"/>
          <w:lang w:eastAsia="it-IT"/>
        </w:rPr>
        <w:t>apertura verso quella degli altri.</w:t>
      </w:r>
    </w:p>
    <w:p w:rsidR="003D464D" w:rsidRDefault="003D464D" w:rsidP="00DF1E0A">
      <w:pPr>
        <w:spacing w:before="120" w:after="120" w:line="240" w:lineRule="auto"/>
        <w:rPr>
          <w:rFonts w:ascii="Arial" w:eastAsia="Times New Roman" w:hAnsi="Arial" w:cs="Arial"/>
          <w:color w:val="D9D9D9" w:themeColor="background1" w:themeShade="D9"/>
          <w:lang w:eastAsia="it-IT"/>
        </w:rPr>
      </w:pPr>
    </w:p>
    <w:p w:rsidR="003D464D" w:rsidRPr="003D464D" w:rsidRDefault="002A570B" w:rsidP="00F648F9">
      <w:pPr>
        <w:spacing w:before="120" w:after="120" w:line="240" w:lineRule="auto"/>
        <w:ind w:left="851"/>
        <w:rPr>
          <w:rFonts w:ascii="Arial" w:eastAsia="Times New Roman" w:hAnsi="Arial" w:cs="Arial"/>
          <w:color w:val="D9D9D9" w:themeColor="background1" w:themeShade="D9"/>
          <w:lang w:eastAsia="it-IT"/>
        </w:rPr>
      </w:pPr>
      <w:hyperlink r:id="rId12" w:tooltip="Papa Giovanni Paolo II" w:history="1">
        <w:r w:rsidR="00DF1E0A" w:rsidRPr="003D464D">
          <w:rPr>
            <w:rFonts w:ascii="Arial" w:eastAsia="Times New Roman" w:hAnsi="Arial" w:cs="Arial"/>
            <w:color w:val="D9D9D9" w:themeColor="background1" w:themeShade="D9"/>
            <w:lang w:eastAsia="it-IT"/>
          </w:rPr>
          <w:t>Giovanni Paolo II</w:t>
        </w:r>
      </w:hyperlink>
      <w:r w:rsidR="00DF1E0A" w:rsidRPr="003D464D">
        <w:rPr>
          <w:rFonts w:ascii="Arial" w:eastAsia="Times New Roman" w:hAnsi="Arial" w:cs="Arial"/>
          <w:color w:val="D9D9D9" w:themeColor="background1" w:themeShade="D9"/>
          <w:lang w:eastAsia="it-IT"/>
        </w:rPr>
        <w:t xml:space="preserve">, </w:t>
      </w:r>
      <w:r w:rsidR="00C77AD0" w:rsidRPr="00C77AD0">
        <w:rPr>
          <w:rFonts w:ascii="Arial" w:eastAsia="Times New Roman" w:hAnsi="Arial" w:cs="Arial"/>
          <w:color w:val="D9D9D9" w:themeColor="background1" w:themeShade="D9"/>
          <w:lang w:eastAsia="it-IT"/>
        </w:rPr>
        <w:t>lettera enciclica</w:t>
      </w:r>
      <w:r w:rsidR="00C77AD0" w:rsidRPr="003D464D">
        <w:rPr>
          <w:rFonts w:ascii="Arial" w:eastAsia="Times New Roman" w:hAnsi="Arial" w:cs="Arial"/>
          <w:color w:val="D9D9D9" w:themeColor="background1" w:themeShade="D9"/>
          <w:lang w:eastAsia="it-IT"/>
        </w:rPr>
        <w:t> </w:t>
      </w:r>
      <w:proofErr w:type="spellStart"/>
      <w:r w:rsidR="00C77AD0" w:rsidRPr="00C77AD0">
        <w:rPr>
          <w:rFonts w:ascii="Arial" w:eastAsia="Times New Roman" w:hAnsi="Arial" w:cs="Arial"/>
          <w:i/>
          <w:iCs/>
          <w:color w:val="D9D9D9" w:themeColor="background1" w:themeShade="D9"/>
          <w:lang w:eastAsia="it-IT"/>
        </w:rPr>
        <w:t>Redemptoris</w:t>
      </w:r>
      <w:proofErr w:type="spellEnd"/>
      <w:r w:rsidR="00C77AD0" w:rsidRPr="00C77AD0">
        <w:rPr>
          <w:rFonts w:ascii="Arial" w:eastAsia="Times New Roman" w:hAnsi="Arial" w:cs="Arial"/>
          <w:i/>
          <w:iCs/>
          <w:color w:val="D9D9D9" w:themeColor="background1" w:themeShade="D9"/>
          <w:lang w:eastAsia="it-IT"/>
        </w:rPr>
        <w:t xml:space="preserve"> </w:t>
      </w:r>
      <w:proofErr w:type="spellStart"/>
      <w:r w:rsidR="00C77AD0" w:rsidRPr="00C77AD0">
        <w:rPr>
          <w:rFonts w:ascii="Arial" w:eastAsia="Times New Roman" w:hAnsi="Arial" w:cs="Arial"/>
          <w:i/>
          <w:iCs/>
          <w:color w:val="D9D9D9" w:themeColor="background1" w:themeShade="D9"/>
          <w:lang w:eastAsia="it-IT"/>
        </w:rPr>
        <w:t>Missio</w:t>
      </w:r>
      <w:proofErr w:type="spellEnd"/>
      <w:r w:rsidR="00C77AD0" w:rsidRPr="003D464D">
        <w:rPr>
          <w:rFonts w:ascii="Arial" w:eastAsia="Times New Roman" w:hAnsi="Arial" w:cs="Arial"/>
          <w:color w:val="D9D9D9" w:themeColor="background1" w:themeShade="D9"/>
          <w:lang w:eastAsia="it-IT"/>
        </w:rPr>
        <w:t> </w:t>
      </w:r>
      <w:r w:rsidR="003D464D">
        <w:rPr>
          <w:rFonts w:ascii="Arial" w:eastAsia="Times New Roman" w:hAnsi="Arial" w:cs="Arial"/>
          <w:color w:val="D9D9D9" w:themeColor="background1" w:themeShade="D9"/>
          <w:lang w:eastAsia="it-IT"/>
        </w:rPr>
        <w:t xml:space="preserve"> 1990.</w:t>
      </w:r>
    </w:p>
    <w:p w:rsidR="00781E06" w:rsidRDefault="00DF1E0A" w:rsidP="00F648F9">
      <w:pPr>
        <w:spacing w:before="120" w:after="120" w:line="240" w:lineRule="auto"/>
        <w:ind w:left="851"/>
        <w:rPr>
          <w:rFonts w:ascii="Arial" w:eastAsia="Times New Roman" w:hAnsi="Arial" w:cs="Arial"/>
          <w:color w:val="D9D9D9" w:themeColor="background1" w:themeShade="D9"/>
          <w:lang w:eastAsia="it-IT"/>
        </w:rPr>
      </w:pPr>
      <w:r w:rsidRPr="00C77AD0">
        <w:rPr>
          <w:rFonts w:ascii="Arial" w:eastAsia="Times New Roman" w:hAnsi="Arial" w:cs="Arial"/>
          <w:bCs/>
          <w:color w:val="D9D9D9" w:themeColor="background1" w:themeShade="D9"/>
          <w:lang w:eastAsia="it-IT"/>
        </w:rPr>
        <w:t>Pontificio consiglio</w:t>
      </w:r>
      <w:r w:rsidR="003D464D" w:rsidRPr="003D464D">
        <w:rPr>
          <w:rFonts w:ascii="Arial" w:eastAsia="Times New Roman" w:hAnsi="Arial" w:cs="Arial"/>
          <w:bCs/>
          <w:color w:val="D9D9D9" w:themeColor="background1" w:themeShade="D9"/>
          <w:lang w:eastAsia="it-IT"/>
        </w:rPr>
        <w:t xml:space="preserve"> </w:t>
      </w:r>
      <w:r w:rsidR="003D464D" w:rsidRPr="00C77AD0">
        <w:rPr>
          <w:rFonts w:ascii="Arial" w:eastAsia="Times New Roman" w:hAnsi="Arial" w:cs="Arial"/>
          <w:bCs/>
          <w:color w:val="D9D9D9" w:themeColor="background1" w:themeShade="D9"/>
          <w:lang w:eastAsia="it-IT"/>
        </w:rPr>
        <w:t>per il dialogo interreligioso</w:t>
      </w:r>
      <w:r w:rsidR="003D464D" w:rsidRPr="003D464D">
        <w:rPr>
          <w:rFonts w:ascii="Arial" w:eastAsia="Times New Roman" w:hAnsi="Arial" w:cs="Arial"/>
          <w:color w:val="D9D9D9" w:themeColor="background1" w:themeShade="D9"/>
          <w:lang w:eastAsia="it-IT"/>
        </w:rPr>
        <w:t> </w:t>
      </w:r>
      <w:r w:rsidRPr="003D464D">
        <w:rPr>
          <w:rFonts w:ascii="Arial" w:eastAsia="Times New Roman" w:hAnsi="Arial" w:cs="Arial"/>
          <w:b/>
          <w:bCs/>
          <w:color w:val="D9D9D9" w:themeColor="background1" w:themeShade="D9"/>
          <w:lang w:eastAsia="it-IT"/>
        </w:rPr>
        <w:t>,</w:t>
      </w:r>
      <w:r w:rsidR="00C77AD0" w:rsidRPr="003D464D">
        <w:rPr>
          <w:rFonts w:ascii="Arial" w:eastAsia="Times New Roman" w:hAnsi="Arial" w:cs="Arial"/>
          <w:color w:val="D9D9D9" w:themeColor="background1" w:themeShade="D9"/>
          <w:lang w:eastAsia="it-IT"/>
        </w:rPr>
        <w:t> </w:t>
      </w:r>
      <w:r w:rsidR="00C77AD0" w:rsidRPr="00C77AD0">
        <w:rPr>
          <w:rFonts w:ascii="Arial" w:eastAsia="Times New Roman" w:hAnsi="Arial" w:cs="Arial"/>
          <w:i/>
          <w:iCs/>
          <w:color w:val="D9D9D9" w:themeColor="background1" w:themeShade="D9"/>
          <w:lang w:eastAsia="it-IT"/>
        </w:rPr>
        <w:t>L'atteggiamento della Chiesa cattolica di fronte ai seguaci di altre religioni, riflessioni e orientamenti di dialogo e missione</w:t>
      </w:r>
      <w:r w:rsidR="00C77AD0" w:rsidRPr="003D464D">
        <w:rPr>
          <w:rFonts w:ascii="Arial" w:eastAsia="Times New Roman" w:hAnsi="Arial" w:cs="Arial"/>
          <w:color w:val="D9D9D9" w:themeColor="background1" w:themeShade="D9"/>
          <w:lang w:eastAsia="it-IT"/>
        </w:rPr>
        <w:t> </w:t>
      </w:r>
      <w:r w:rsidR="00781E06">
        <w:rPr>
          <w:rFonts w:ascii="Arial" w:eastAsia="Times New Roman" w:hAnsi="Arial" w:cs="Arial"/>
          <w:color w:val="D9D9D9" w:themeColor="background1" w:themeShade="D9"/>
          <w:lang w:eastAsia="it-IT"/>
        </w:rPr>
        <w:t>(</w:t>
      </w:r>
      <w:hyperlink r:id="rId13" w:tooltip="1984" w:history="1">
        <w:r w:rsidR="00C77AD0" w:rsidRPr="003D464D">
          <w:rPr>
            <w:rFonts w:ascii="Arial" w:eastAsia="Times New Roman" w:hAnsi="Arial" w:cs="Arial"/>
            <w:color w:val="D9D9D9" w:themeColor="background1" w:themeShade="D9"/>
            <w:lang w:eastAsia="it-IT"/>
          </w:rPr>
          <w:t>1984</w:t>
        </w:r>
      </w:hyperlink>
      <w:r w:rsidR="00781E06">
        <w:rPr>
          <w:rFonts w:ascii="Arial" w:eastAsia="Times New Roman" w:hAnsi="Arial" w:cs="Arial"/>
          <w:color w:val="D9D9D9" w:themeColor="background1" w:themeShade="D9"/>
          <w:lang w:eastAsia="it-IT"/>
        </w:rPr>
        <w:t>)</w:t>
      </w:r>
      <w:r w:rsidR="003D464D" w:rsidRPr="003D464D">
        <w:rPr>
          <w:rFonts w:ascii="Arial" w:eastAsia="Times New Roman" w:hAnsi="Arial" w:cs="Arial"/>
          <w:color w:val="D9D9D9" w:themeColor="background1" w:themeShade="D9"/>
          <w:lang w:eastAsia="it-IT"/>
        </w:rPr>
        <w:t>.</w:t>
      </w:r>
    </w:p>
    <w:p w:rsidR="00781E06" w:rsidRDefault="00781E06" w:rsidP="00F648F9">
      <w:pPr>
        <w:spacing w:before="120" w:after="120" w:line="240" w:lineRule="auto"/>
        <w:ind w:left="851"/>
        <w:rPr>
          <w:rStyle w:val="Enfasigrassetto"/>
          <w:rFonts w:ascii="Varela Round" w:hAnsi="Varela Round"/>
          <w:b w:val="0"/>
          <w:bCs w:val="0"/>
          <w:color w:val="636161"/>
        </w:rPr>
      </w:pPr>
      <w:r w:rsidRPr="00C77AD0">
        <w:rPr>
          <w:rFonts w:ascii="Arial" w:eastAsia="Times New Roman" w:hAnsi="Arial" w:cs="Arial"/>
          <w:bCs/>
          <w:color w:val="D9D9D9" w:themeColor="background1" w:themeShade="D9"/>
          <w:lang w:eastAsia="it-IT"/>
        </w:rPr>
        <w:t>Pontificio</w:t>
      </w:r>
      <w:r w:rsidRPr="00781E06">
        <w:rPr>
          <w:rFonts w:ascii="Arial" w:eastAsia="Times New Roman" w:hAnsi="Arial" w:cs="Arial"/>
          <w:bCs/>
          <w:color w:val="D9D9D9" w:themeColor="background1" w:themeShade="D9"/>
          <w:lang w:eastAsia="it-IT"/>
        </w:rPr>
        <w:t xml:space="preserve"> </w:t>
      </w:r>
      <w:r w:rsidRPr="00C77AD0">
        <w:rPr>
          <w:rFonts w:ascii="Arial" w:eastAsia="Times New Roman" w:hAnsi="Arial" w:cs="Arial"/>
          <w:bCs/>
          <w:color w:val="D9D9D9" w:themeColor="background1" w:themeShade="D9"/>
          <w:lang w:eastAsia="it-IT"/>
        </w:rPr>
        <w:t>consiglio</w:t>
      </w:r>
      <w:r w:rsidRPr="003D464D">
        <w:rPr>
          <w:rFonts w:ascii="Arial" w:eastAsia="Times New Roman" w:hAnsi="Arial" w:cs="Arial"/>
          <w:bCs/>
          <w:color w:val="D9D9D9" w:themeColor="background1" w:themeShade="D9"/>
          <w:lang w:eastAsia="it-IT"/>
        </w:rPr>
        <w:t xml:space="preserve"> </w:t>
      </w:r>
      <w:r w:rsidRPr="00C77AD0">
        <w:rPr>
          <w:rFonts w:ascii="Arial" w:eastAsia="Times New Roman" w:hAnsi="Arial" w:cs="Arial"/>
          <w:bCs/>
          <w:color w:val="D9D9D9" w:themeColor="background1" w:themeShade="D9"/>
          <w:lang w:eastAsia="it-IT"/>
        </w:rPr>
        <w:t>per il dialogo interreligioso</w:t>
      </w:r>
      <w:r w:rsidRPr="00C77AD0">
        <w:rPr>
          <w:rFonts w:ascii="Arial" w:eastAsia="Times New Roman" w:hAnsi="Arial" w:cs="Arial"/>
          <w:color w:val="D9D9D9" w:themeColor="background1" w:themeShade="D9"/>
          <w:lang w:eastAsia="it-IT"/>
        </w:rPr>
        <w:t>,</w:t>
      </w:r>
      <w:r w:rsidRPr="003D464D">
        <w:rPr>
          <w:rFonts w:ascii="Arial" w:eastAsia="Times New Roman" w:hAnsi="Arial" w:cs="Arial"/>
          <w:color w:val="D9D9D9" w:themeColor="background1" w:themeShade="D9"/>
          <w:lang w:eastAsia="it-IT"/>
        </w:rPr>
        <w:t> </w:t>
      </w:r>
      <w:r w:rsidRPr="00C77AD0">
        <w:rPr>
          <w:rFonts w:ascii="Arial" w:eastAsia="Times New Roman" w:hAnsi="Arial" w:cs="Arial"/>
          <w:i/>
          <w:iCs/>
          <w:color w:val="D9D9D9" w:themeColor="background1" w:themeShade="D9"/>
          <w:lang w:eastAsia="it-IT"/>
        </w:rPr>
        <w:t>Dialogo e annuncio</w:t>
      </w:r>
      <w:r w:rsidRPr="003D464D">
        <w:rPr>
          <w:rFonts w:ascii="Arial" w:eastAsia="Times New Roman" w:hAnsi="Arial" w:cs="Arial"/>
          <w:color w:val="D9D9D9" w:themeColor="background1" w:themeShade="D9"/>
          <w:lang w:eastAsia="it-IT"/>
        </w:rPr>
        <w:t> </w:t>
      </w:r>
      <w:r>
        <w:rPr>
          <w:rFonts w:ascii="Arial" w:eastAsia="Times New Roman" w:hAnsi="Arial" w:cs="Arial"/>
          <w:color w:val="D9D9D9" w:themeColor="background1" w:themeShade="D9"/>
          <w:lang w:eastAsia="it-IT"/>
        </w:rPr>
        <w:t>(</w:t>
      </w:r>
      <w:hyperlink r:id="rId14" w:tooltip="1991" w:history="1">
        <w:r w:rsidRPr="003D464D">
          <w:rPr>
            <w:rFonts w:ascii="Arial" w:eastAsia="Times New Roman" w:hAnsi="Arial" w:cs="Arial"/>
            <w:color w:val="D9D9D9" w:themeColor="background1" w:themeShade="D9"/>
            <w:lang w:eastAsia="it-IT"/>
          </w:rPr>
          <w:t>1991</w:t>
        </w:r>
      </w:hyperlink>
      <w:r>
        <w:rPr>
          <w:rFonts w:ascii="Arial" w:eastAsia="Times New Roman" w:hAnsi="Arial" w:cs="Arial"/>
          <w:color w:val="D9D9D9" w:themeColor="background1" w:themeShade="D9"/>
          <w:lang w:eastAsia="it-IT"/>
        </w:rPr>
        <w:t>)</w:t>
      </w:r>
      <w:r w:rsidRPr="003D464D">
        <w:rPr>
          <w:rFonts w:ascii="Arial" w:eastAsia="Times New Roman" w:hAnsi="Arial" w:cs="Arial"/>
          <w:color w:val="D9D9D9" w:themeColor="background1" w:themeShade="D9"/>
          <w:lang w:eastAsia="it-IT"/>
        </w:rPr>
        <w:t>.</w:t>
      </w:r>
      <w:r w:rsidRPr="00781E06">
        <w:rPr>
          <w:rStyle w:val="Enfasigrassetto"/>
          <w:rFonts w:ascii="Varela Round" w:hAnsi="Varela Round"/>
          <w:b w:val="0"/>
          <w:bCs w:val="0"/>
          <w:color w:val="636161"/>
        </w:rPr>
        <w:t xml:space="preserve"> </w:t>
      </w:r>
    </w:p>
    <w:p w:rsidR="00781E06" w:rsidRPr="00781E06" w:rsidRDefault="00781E06" w:rsidP="00F648F9">
      <w:pPr>
        <w:spacing w:before="120" w:after="120" w:line="240" w:lineRule="auto"/>
        <w:ind w:left="851"/>
        <w:rPr>
          <w:rStyle w:val="Enfasigrassetto"/>
          <w:rFonts w:ascii="Arial" w:hAnsi="Arial" w:cs="Arial"/>
          <w:bCs w:val="0"/>
          <w:color w:val="DBE5F1" w:themeColor="accent1" w:themeTint="33"/>
        </w:rPr>
      </w:pPr>
      <w:r w:rsidRPr="00C77AD0">
        <w:rPr>
          <w:rFonts w:ascii="Arial" w:eastAsia="Times New Roman" w:hAnsi="Arial" w:cs="Arial"/>
          <w:bCs/>
          <w:color w:val="D9D9D9" w:themeColor="background1" w:themeShade="D9"/>
          <w:lang w:eastAsia="it-IT"/>
        </w:rPr>
        <w:t>Pontificio</w:t>
      </w:r>
      <w:r w:rsidRPr="00781E06">
        <w:rPr>
          <w:rFonts w:ascii="Arial" w:eastAsia="Times New Roman" w:hAnsi="Arial" w:cs="Arial"/>
          <w:bCs/>
          <w:color w:val="D9D9D9" w:themeColor="background1" w:themeShade="D9"/>
          <w:lang w:eastAsia="it-IT"/>
        </w:rPr>
        <w:t xml:space="preserve"> </w:t>
      </w:r>
      <w:r w:rsidRPr="00C77AD0">
        <w:rPr>
          <w:rFonts w:ascii="Arial" w:eastAsia="Times New Roman" w:hAnsi="Arial" w:cs="Arial"/>
          <w:bCs/>
          <w:color w:val="D9D9D9" w:themeColor="background1" w:themeShade="D9"/>
          <w:lang w:eastAsia="it-IT"/>
        </w:rPr>
        <w:t>consiglio</w:t>
      </w:r>
      <w:r w:rsidRPr="003D464D">
        <w:rPr>
          <w:rFonts w:ascii="Arial" w:eastAsia="Times New Roman" w:hAnsi="Arial" w:cs="Arial"/>
          <w:bCs/>
          <w:color w:val="D9D9D9" w:themeColor="background1" w:themeShade="D9"/>
          <w:lang w:eastAsia="it-IT"/>
        </w:rPr>
        <w:t xml:space="preserve"> </w:t>
      </w:r>
      <w:r w:rsidRPr="00C77AD0">
        <w:rPr>
          <w:rFonts w:ascii="Arial" w:eastAsia="Times New Roman" w:hAnsi="Arial" w:cs="Arial"/>
          <w:bCs/>
          <w:color w:val="D9D9D9" w:themeColor="background1" w:themeShade="D9"/>
          <w:lang w:eastAsia="it-IT"/>
        </w:rPr>
        <w:t>per il dialogo interreligioso</w:t>
      </w:r>
      <w:r>
        <w:rPr>
          <w:rStyle w:val="Enfasigrassetto"/>
          <w:rFonts w:ascii="Arial" w:hAnsi="Arial" w:cs="Arial"/>
          <w:b w:val="0"/>
          <w:bCs w:val="0"/>
          <w:i/>
          <w:color w:val="DBE5F1" w:themeColor="accent1" w:themeTint="33"/>
        </w:rPr>
        <w:t xml:space="preserve">, </w:t>
      </w:r>
      <w:r w:rsidRPr="00781E06">
        <w:rPr>
          <w:rStyle w:val="Enfasigrassetto"/>
          <w:rFonts w:ascii="Arial" w:hAnsi="Arial" w:cs="Arial"/>
          <w:b w:val="0"/>
          <w:bCs w:val="0"/>
          <w:i/>
          <w:color w:val="DBE5F1" w:themeColor="accent1" w:themeTint="33"/>
        </w:rPr>
        <w:t>Dialogo nella verità  e nella carità.</w:t>
      </w:r>
      <w:r w:rsidRPr="00781E06">
        <w:rPr>
          <w:rFonts w:ascii="Arial" w:hAnsi="Arial" w:cs="Arial"/>
          <w:b/>
          <w:bCs/>
          <w:i/>
          <w:color w:val="DBE5F1" w:themeColor="accent1" w:themeTint="33"/>
        </w:rPr>
        <w:t xml:space="preserve"> </w:t>
      </w:r>
      <w:r w:rsidRPr="00781E06">
        <w:rPr>
          <w:rFonts w:ascii="Arial" w:hAnsi="Arial" w:cs="Arial"/>
          <w:bCs/>
          <w:i/>
          <w:color w:val="DBE5F1" w:themeColor="accent1" w:themeTint="33"/>
        </w:rPr>
        <w:t>Orientamenti pastorali per il dialogo interreligioso</w:t>
      </w:r>
      <w:r w:rsidRPr="00781E06">
        <w:rPr>
          <w:rFonts w:ascii="Arial" w:hAnsi="Arial" w:cs="Arial"/>
          <w:b/>
          <w:bCs/>
          <w:color w:val="DBE5F1" w:themeColor="accent1" w:themeTint="33"/>
        </w:rPr>
        <w:t xml:space="preserve"> </w:t>
      </w:r>
      <w:r w:rsidRPr="00781E06">
        <w:rPr>
          <w:rFonts w:ascii="Arial" w:hAnsi="Arial" w:cs="Arial"/>
          <w:bCs/>
          <w:color w:val="DBE5F1" w:themeColor="accent1" w:themeTint="33"/>
        </w:rPr>
        <w:t>(2014).</w:t>
      </w:r>
      <w:r w:rsidR="0044520B" w:rsidRPr="0044520B">
        <w:rPr>
          <w:noProof/>
          <w:lang w:eastAsia="it-IT"/>
        </w:rPr>
        <w:t xml:space="preserve"> </w:t>
      </w:r>
    </w:p>
    <w:p w:rsidR="003D464D" w:rsidRPr="003D464D" w:rsidRDefault="003D464D" w:rsidP="00F648F9">
      <w:pPr>
        <w:spacing w:before="120" w:after="120" w:line="240" w:lineRule="auto"/>
        <w:ind w:left="851"/>
        <w:rPr>
          <w:rFonts w:ascii="Arial" w:eastAsia="Times New Roman" w:hAnsi="Arial" w:cs="Arial"/>
          <w:color w:val="D9D9D9" w:themeColor="background1" w:themeShade="D9"/>
          <w:lang w:eastAsia="it-IT"/>
        </w:rPr>
      </w:pPr>
    </w:p>
    <w:p w:rsidR="0044520B" w:rsidRDefault="0044520B" w:rsidP="00F648F9">
      <w:pPr>
        <w:spacing w:before="120" w:after="120" w:line="240" w:lineRule="auto"/>
        <w:jc w:val="center"/>
        <w:rPr>
          <w:rFonts w:ascii="Arial" w:eastAsia="Times New Roman" w:hAnsi="Arial" w:cs="Arial"/>
          <w:iCs/>
          <w:sz w:val="32"/>
          <w:lang w:eastAsia="it-IT"/>
        </w:rPr>
      </w:pPr>
      <w:r>
        <w:rPr>
          <w:noProof/>
          <w:lang w:eastAsia="it-IT"/>
        </w:rPr>
        <w:drawing>
          <wp:inline distT="0" distB="0" distL="0" distR="0" wp14:anchorId="416D857D" wp14:editId="21A6DE0C">
            <wp:extent cx="1150012" cy="1150012"/>
            <wp:effectExtent l="0" t="0" r="0" b="0"/>
            <wp:docPr id="1" name="Immagine 1" descr="C:\Users\user\Desktop\tim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imthumb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134" cy="115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8F9" w:rsidRPr="00F648F9" w:rsidRDefault="00F648F9" w:rsidP="00F648F9">
      <w:pPr>
        <w:spacing w:before="120" w:after="120" w:line="240" w:lineRule="auto"/>
        <w:jc w:val="center"/>
        <w:rPr>
          <w:rFonts w:ascii="Arial" w:eastAsia="Times New Roman" w:hAnsi="Arial" w:cs="Arial"/>
          <w:sz w:val="32"/>
          <w:lang w:eastAsia="it-IT"/>
        </w:rPr>
      </w:pPr>
      <w:r w:rsidRPr="00F648F9">
        <w:rPr>
          <w:rFonts w:ascii="Arial" w:eastAsia="Times New Roman" w:hAnsi="Arial" w:cs="Arial"/>
          <w:iCs/>
          <w:sz w:val="32"/>
          <w:lang w:eastAsia="it-IT"/>
        </w:rPr>
        <w:t>Stralci da</w:t>
      </w:r>
      <w:r w:rsidRPr="00F648F9">
        <w:rPr>
          <w:rFonts w:ascii="Arial" w:eastAsia="Times New Roman" w:hAnsi="Arial" w:cs="Arial"/>
          <w:i/>
          <w:iCs/>
          <w:sz w:val="32"/>
          <w:lang w:eastAsia="it-IT"/>
        </w:rPr>
        <w:t xml:space="preserve"> </w:t>
      </w:r>
      <w:r w:rsidRPr="00C77AD0">
        <w:rPr>
          <w:rFonts w:ascii="Arial" w:eastAsia="Times New Roman" w:hAnsi="Arial" w:cs="Arial"/>
          <w:i/>
          <w:iCs/>
          <w:sz w:val="32"/>
          <w:lang w:eastAsia="it-IT"/>
        </w:rPr>
        <w:t>Dialogo e annuncio</w:t>
      </w:r>
      <w:r w:rsidRPr="00F648F9">
        <w:rPr>
          <w:rFonts w:ascii="Arial" w:eastAsia="Times New Roman" w:hAnsi="Arial" w:cs="Arial"/>
          <w:sz w:val="32"/>
          <w:lang w:eastAsia="it-IT"/>
        </w:rPr>
        <w:t> </w:t>
      </w:r>
    </w:p>
    <w:p w:rsidR="00F648F9" w:rsidRDefault="00F648F9" w:rsidP="00DF1E0A">
      <w:pPr>
        <w:spacing w:before="120" w:after="120" w:line="240" w:lineRule="auto"/>
      </w:pPr>
      <w:r w:rsidRPr="00F648F9">
        <w:rPr>
          <w:b/>
        </w:rPr>
        <w:t>9. Il dialogo</w:t>
      </w:r>
      <w:r>
        <w:t xml:space="preserve"> </w:t>
      </w:r>
    </w:p>
    <w:p w:rsidR="003C6BEA" w:rsidRDefault="00F648F9" w:rsidP="00DF1E0A">
      <w:pPr>
        <w:spacing w:before="120" w:after="120" w:line="240" w:lineRule="auto"/>
      </w:pPr>
      <w:r>
        <w:t xml:space="preserve">Il termine dialogo può essere compreso in differenti modi. </w:t>
      </w:r>
      <w:r w:rsidR="003C6BEA" w:rsidRPr="003C6BEA">
        <w:rPr>
          <w:color w:val="C6D9F1" w:themeColor="text2" w:themeTint="33"/>
        </w:rPr>
        <w:t>Primo</w:t>
      </w:r>
      <w:r>
        <w:t xml:space="preserve">, a livello puramente umano, esso significa “comunicazione reciproca”, che conduce ad un obiettivo comune o a un livello più profondo, alla comunione interpersonale. </w:t>
      </w:r>
      <w:r w:rsidRPr="003C6BEA">
        <w:rPr>
          <w:color w:val="C6D9F1" w:themeColor="text2" w:themeTint="33"/>
        </w:rPr>
        <w:t>Secondo</w:t>
      </w:r>
      <w:r>
        <w:t xml:space="preserve">, il dialogo può essere considerato un atteggiamento di rispetto e amicizia, permea o dovrebbe permeare tutte quelle attività della Chiesa che costituiscano la sua missione evangelizzatrice, ciò può essere definito “lo spirito del dialogo”. </w:t>
      </w:r>
      <w:r w:rsidR="003C6BEA" w:rsidRPr="003C6BEA">
        <w:rPr>
          <w:color w:val="C6D9F1" w:themeColor="text2" w:themeTint="33"/>
        </w:rPr>
        <w:t>Terzo</w:t>
      </w:r>
      <w:r>
        <w:t xml:space="preserve">, nel contesto del pluralismo religioso, dialogo significa “ogni tipo di relazione interreligiosa positiva e costruttiva con individui e comunità </w:t>
      </w:r>
      <w:r>
        <w:lastRenderedPageBreak/>
        <w:t xml:space="preserve">appartenenti ad altre fedi, che sia mirato alla muta comprensione e al mutuo arricchimento”, nel pieno rispetto della verità e della libertà. Esso comprende sia la testimonianza, sia l’esplorazione delle rispettive convinzioni religiose. </w:t>
      </w:r>
    </w:p>
    <w:p w:rsidR="00F648F9" w:rsidRPr="00F648F9" w:rsidRDefault="00F648F9" w:rsidP="00DF1E0A">
      <w:pPr>
        <w:spacing w:before="120" w:after="120" w:line="240" w:lineRule="auto"/>
        <w:rPr>
          <w:b/>
        </w:rPr>
      </w:pPr>
      <w:r w:rsidRPr="00F648F9">
        <w:rPr>
          <w:b/>
        </w:rPr>
        <w:t xml:space="preserve">27. Giovanni Paolo II e l’approccio alle altre tradizioni religiose </w:t>
      </w:r>
    </w:p>
    <w:p w:rsidR="003C6BEA" w:rsidRDefault="00F648F9" w:rsidP="00DF1E0A">
      <w:pPr>
        <w:spacing w:before="120" w:after="120" w:line="240" w:lineRule="auto"/>
      </w:pPr>
      <w:r>
        <w:t xml:space="preserve">Giovanni Paolo II ha sottolineato la </w:t>
      </w:r>
      <w:r w:rsidRPr="003C6BEA">
        <w:rPr>
          <w:color w:val="C6D9F1" w:themeColor="text2" w:themeTint="33"/>
        </w:rPr>
        <w:t xml:space="preserve">presenza </w:t>
      </w:r>
      <w:r w:rsidR="003C6BEA" w:rsidRPr="003C6BEA">
        <w:rPr>
          <w:color w:val="C6D9F1" w:themeColor="text2" w:themeTint="33"/>
        </w:rPr>
        <w:t xml:space="preserve">universale dello Spirito </w:t>
      </w:r>
      <w:r w:rsidR="003C6BEA" w:rsidRPr="00781E06">
        <w:rPr>
          <w:color w:val="DBE5F1" w:themeColor="accent1" w:themeTint="33"/>
        </w:rPr>
        <w:t>Santo</w:t>
      </w:r>
      <w:r w:rsidR="003C6BEA">
        <w:t xml:space="preserve">: </w:t>
      </w:r>
      <w:r>
        <w:t xml:space="preserve">“ogni persona che prega con l’atteggiamento di autenticità è ispirata dallo Spirito Santo, che è misteriosamente presente nel cuore di ognuno”, Cristiano o meno. </w:t>
      </w:r>
    </w:p>
    <w:p w:rsidR="00F648F9" w:rsidRDefault="00F648F9" w:rsidP="00DF1E0A">
      <w:pPr>
        <w:spacing w:before="120" w:after="120" w:line="240" w:lineRule="auto"/>
      </w:pPr>
      <w:r>
        <w:t xml:space="preserve">Ma ancora, il Papa, andando oltre la prospettiva individuale, ha articolato gli </w:t>
      </w:r>
      <w:r w:rsidRPr="003C6BEA">
        <w:rPr>
          <w:color w:val="C6D9F1" w:themeColor="text2" w:themeTint="33"/>
        </w:rPr>
        <w:t>elementi principali del dialogo interreligioso</w:t>
      </w:r>
      <w:r>
        <w:t xml:space="preserve">. </w:t>
      </w:r>
    </w:p>
    <w:p w:rsidR="00F648F9" w:rsidRPr="003C6BEA" w:rsidRDefault="00F648F9" w:rsidP="00DF1E0A">
      <w:pPr>
        <w:spacing w:before="120" w:after="120" w:line="240" w:lineRule="auto"/>
        <w:rPr>
          <w:b/>
        </w:rPr>
      </w:pPr>
      <w:r w:rsidRPr="003C6BEA">
        <w:rPr>
          <w:b/>
        </w:rPr>
        <w:t xml:space="preserve">28. Il mistero dell’unità dell’intero genere umano </w:t>
      </w:r>
    </w:p>
    <w:p w:rsidR="003C6BEA" w:rsidRDefault="00F648F9" w:rsidP="00DF1E0A">
      <w:pPr>
        <w:spacing w:before="120" w:after="120" w:line="240" w:lineRule="auto"/>
      </w:pPr>
      <w:r>
        <w:t xml:space="preserve">Al primo punto è situato il fatto che l’intera umanità forma </w:t>
      </w:r>
      <w:r w:rsidRPr="003C6BEA">
        <w:rPr>
          <w:color w:val="C6D9F1" w:themeColor="text2" w:themeTint="33"/>
        </w:rPr>
        <w:t>una sola famiglia</w:t>
      </w:r>
      <w:r>
        <w:t xml:space="preserve">. Parallelamente, tutti sono chiamati allo stesso </w:t>
      </w:r>
      <w:r w:rsidRPr="003C6BEA">
        <w:rPr>
          <w:color w:val="C6D9F1" w:themeColor="text2" w:themeTint="33"/>
        </w:rPr>
        <w:t>destino comune</w:t>
      </w:r>
      <w:r>
        <w:t xml:space="preserve">, vale a dire la pienezza della vita in Dio. Inoltre, vi è </w:t>
      </w:r>
      <w:r w:rsidRPr="003C6BEA">
        <w:rPr>
          <w:color w:val="C6D9F1" w:themeColor="text2" w:themeTint="33"/>
        </w:rPr>
        <w:t xml:space="preserve">un solo piano di salvezza </w:t>
      </w:r>
      <w:r>
        <w:t xml:space="preserve">per l’umanità, con il suo centro in Gesù Cristo, il quale nella sua incarnazione “si è unito in un certo qual modo ad ogni persona” (RH 13; </w:t>
      </w:r>
      <w:proofErr w:type="spellStart"/>
      <w:r>
        <w:t>cfr</w:t>
      </w:r>
      <w:proofErr w:type="spellEnd"/>
      <w:r>
        <w:t xml:space="preserve"> 65 22,2). Infine, è necessario menzionare l’attiva presenza dello Spirito Santo nella vita religiosa dei membri delle altre tradizioni religiose. </w:t>
      </w:r>
    </w:p>
    <w:p w:rsidR="003C6BEA" w:rsidRDefault="00F648F9" w:rsidP="00DF1E0A">
      <w:pPr>
        <w:spacing w:before="120" w:after="120" w:line="240" w:lineRule="auto"/>
      </w:pPr>
      <w:r w:rsidRPr="003C6BEA">
        <w:rPr>
          <w:b/>
        </w:rPr>
        <w:t>29. L’unità della salvezza</w:t>
      </w:r>
      <w:r>
        <w:t xml:space="preserve"> </w:t>
      </w:r>
    </w:p>
    <w:p w:rsidR="003C6BEA" w:rsidRDefault="00F648F9" w:rsidP="00DF1E0A">
      <w:pPr>
        <w:spacing w:before="120" w:after="120" w:line="240" w:lineRule="auto"/>
      </w:pPr>
      <w:r>
        <w:t xml:space="preserve">Da questo mistero dell’unità scaturisce il fatto che tutti gli uomini e le donne che sono salvati partecipano sia pure in maniera differente tra loro - allo </w:t>
      </w:r>
      <w:r w:rsidRPr="003C6BEA">
        <w:rPr>
          <w:color w:val="C6D9F1" w:themeColor="text2" w:themeTint="33"/>
        </w:rPr>
        <w:t>stesso mistero di salvezza in Gesù Cristo</w:t>
      </w:r>
      <w:r>
        <w:t xml:space="preserve">. I Cristiani conoscono già questa realtà grazie alla loro fede, mentre gli altri rimangono inconsapevoli del fatto che Gesù Cristo sia la fonte della loro salvezza. </w:t>
      </w:r>
    </w:p>
    <w:p w:rsidR="003C6BEA" w:rsidRDefault="00F648F9" w:rsidP="00DF1E0A">
      <w:pPr>
        <w:spacing w:before="120" w:after="120" w:line="240" w:lineRule="auto"/>
      </w:pPr>
      <w:r w:rsidRPr="003C6BEA">
        <w:rPr>
          <w:b/>
        </w:rPr>
        <w:t>30. La necessità del discernimento</w:t>
      </w:r>
      <w:r>
        <w:t xml:space="preserve"> </w:t>
      </w:r>
    </w:p>
    <w:p w:rsidR="0081043F" w:rsidRDefault="00F648F9" w:rsidP="00DF1E0A">
      <w:pPr>
        <w:spacing w:before="120" w:after="120" w:line="240" w:lineRule="auto"/>
      </w:pPr>
      <w:r>
        <w:t xml:space="preserve">Individuare in altre tradizioni religiose elementi di grazia in grado di sostenere la risposta positiva dei loro membri alla chiamata di Dio richiede un </w:t>
      </w:r>
      <w:r w:rsidRPr="0081043F">
        <w:rPr>
          <w:color w:val="C6D9F1" w:themeColor="text2" w:themeTint="33"/>
        </w:rPr>
        <w:t>discernimento</w:t>
      </w:r>
      <w:r>
        <w:t xml:space="preserve"> per il quale bisogna stabilire dei criteri. Gli individui sinceri marcati dallo Spirito di Dio hanno certamente messo il loro sforzo personale nell’elaborazione e nello sviluppo delle loro rispettive tradizioni religiose. Ciò non implica, tuttavia, che ogni cosa che si trova in esse sia buona. </w:t>
      </w:r>
    </w:p>
    <w:p w:rsidR="0081043F" w:rsidRPr="00655833" w:rsidRDefault="00F648F9" w:rsidP="00DF1E0A">
      <w:pPr>
        <w:spacing w:before="120" w:after="120" w:line="240" w:lineRule="auto"/>
        <w:rPr>
          <w:b/>
        </w:rPr>
      </w:pPr>
      <w:r w:rsidRPr="00655833">
        <w:rPr>
          <w:b/>
        </w:rPr>
        <w:t xml:space="preserve">31. Valori e contraddizioni </w:t>
      </w:r>
    </w:p>
    <w:p w:rsidR="00655833" w:rsidRDefault="00F648F9" w:rsidP="00DF1E0A">
      <w:pPr>
        <w:spacing w:before="120" w:after="120" w:line="240" w:lineRule="auto"/>
      </w:pPr>
      <w:r>
        <w:t xml:space="preserve">Un approccio aperto e positivo alle altre tradizioni religiose non può sorvolare </w:t>
      </w:r>
      <w:r w:rsidRPr="00655833">
        <w:rPr>
          <w:color w:val="C6D9F1" w:themeColor="text2" w:themeTint="33"/>
        </w:rPr>
        <w:t>contraddizioni</w:t>
      </w:r>
      <w:r>
        <w:t xml:space="preserve"> che possono esserci tra di esse e la rivelazione cristiana. Laddove necessario, si devono riconoscere le </w:t>
      </w:r>
      <w:r w:rsidRPr="00655833">
        <w:rPr>
          <w:color w:val="C6D9F1" w:themeColor="text2" w:themeTint="33"/>
        </w:rPr>
        <w:t>incompatibilità</w:t>
      </w:r>
      <w:r>
        <w:t xml:space="preserve"> tra alcuni elementi fondamentali della religione cristiana e alcuni aspetti di tali tradizioni. </w:t>
      </w:r>
    </w:p>
    <w:p w:rsidR="00655833" w:rsidRPr="00655833" w:rsidRDefault="00F648F9" w:rsidP="00DF1E0A">
      <w:pPr>
        <w:spacing w:before="120" w:after="120" w:line="240" w:lineRule="auto"/>
        <w:rPr>
          <w:b/>
        </w:rPr>
      </w:pPr>
      <w:r w:rsidRPr="00655833">
        <w:rPr>
          <w:b/>
        </w:rPr>
        <w:t xml:space="preserve">32. Il dialogo e la purificazione </w:t>
      </w:r>
    </w:p>
    <w:p w:rsidR="00F648F9" w:rsidRDefault="00F648F9" w:rsidP="00DF1E0A">
      <w:pPr>
        <w:spacing w:before="120" w:after="120" w:line="240" w:lineRule="auto"/>
      </w:pPr>
      <w:r>
        <w:t xml:space="preserve">Ciò significa che </w:t>
      </w:r>
      <w:r w:rsidRPr="00655833">
        <w:rPr>
          <w:color w:val="C6D9F1" w:themeColor="text2" w:themeTint="33"/>
        </w:rPr>
        <w:t xml:space="preserve">i Cristiani, pur entrando in dialogo e mentalità aperta con i seguaci delle altre tradizioni religiose, devono tuttavia informarsi presso di loro, con spirito pacifico, dei contenuti della loro fede. </w:t>
      </w:r>
      <w:r w:rsidRPr="00655833">
        <w:t xml:space="preserve">Ma </w:t>
      </w:r>
      <w:r w:rsidRPr="00655833">
        <w:rPr>
          <w:color w:val="C6D9F1" w:themeColor="text2" w:themeTint="33"/>
        </w:rPr>
        <w:t xml:space="preserve">anche i Cristiani devono essere disposti ad essere messi in discussione: </w:t>
      </w:r>
      <w:r>
        <w:t>nonostante la pienezza della rivelazione in Dio in Gesù Cristo, il modo in cui comprendono e praticano la propria religione può aver bisogno di purificazione.</w:t>
      </w:r>
    </w:p>
    <w:p w:rsidR="00F648F9" w:rsidRPr="00655833" w:rsidRDefault="00F648F9" w:rsidP="00DF1E0A">
      <w:pPr>
        <w:spacing w:before="120" w:after="120" w:line="240" w:lineRule="auto"/>
        <w:rPr>
          <w:b/>
        </w:rPr>
      </w:pPr>
      <w:r w:rsidRPr="00655833">
        <w:rPr>
          <w:b/>
        </w:rPr>
        <w:t xml:space="preserve">50. Nuove dimensioni della fede </w:t>
      </w:r>
    </w:p>
    <w:p w:rsidR="00F648F9" w:rsidRDefault="00F648F9" w:rsidP="00F06D6A">
      <w:pPr>
        <w:pBdr>
          <w:bottom w:val="single" w:sz="4" w:space="1" w:color="auto"/>
        </w:pBdr>
        <w:spacing w:before="120" w:after="120" w:line="240" w:lineRule="auto"/>
      </w:pPr>
      <w:r w:rsidRPr="00655833">
        <w:rPr>
          <w:color w:val="B8CCE4" w:themeColor="accent1" w:themeTint="66"/>
        </w:rPr>
        <w:t>Lunghi dall’indebolire la loro fede</w:t>
      </w:r>
      <w:r>
        <w:t xml:space="preserve">, il dialogo antico la approfondirà; essi diverranno </w:t>
      </w:r>
      <w:r w:rsidRPr="00655833">
        <w:rPr>
          <w:color w:val="B8CCE4" w:themeColor="accent1" w:themeTint="66"/>
        </w:rPr>
        <w:t xml:space="preserve">sempre più consapevoli </w:t>
      </w:r>
      <w:r>
        <w:t xml:space="preserve">della loro </w:t>
      </w:r>
      <w:r w:rsidRPr="00655833">
        <w:rPr>
          <w:color w:val="B8CCE4" w:themeColor="accent1" w:themeTint="66"/>
        </w:rPr>
        <w:t xml:space="preserve">propria identità cristiana </w:t>
      </w:r>
      <w:r>
        <w:t xml:space="preserve">e percepiranno sempre più chiaramente gli elementi distintivi del messaggio cristiano. La loro fede </w:t>
      </w:r>
      <w:r w:rsidRPr="00655833">
        <w:rPr>
          <w:color w:val="B8CCE4" w:themeColor="accent1" w:themeTint="66"/>
        </w:rPr>
        <w:t xml:space="preserve">guadagnerà nuove dimensioni </w:t>
      </w:r>
      <w:r>
        <w:t>quando essi scopriranno la presenza attiva del mistero di Gesù Cristo oltre i confini visibili della chiesa e della comunità cristiana.</w:t>
      </w:r>
      <w:r w:rsidR="0044520B" w:rsidRPr="0044520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06D6A" w:rsidRDefault="00F06D6A" w:rsidP="00DF1E0A">
      <w:pPr>
        <w:spacing w:before="120" w:after="120" w:line="240" w:lineRule="auto"/>
      </w:pPr>
    </w:p>
    <w:p w:rsidR="00F06D6A" w:rsidRDefault="00F06D6A" w:rsidP="00F06D6A">
      <w:pPr>
        <w:pStyle w:val="Titolo2"/>
        <w:spacing w:before="0" w:beforeAutospacing="0" w:after="0" w:afterAutospacing="0"/>
        <w:jc w:val="center"/>
        <w:rPr>
          <w:rFonts w:ascii="Arial" w:hAnsi="Arial" w:cs="Arial"/>
          <w:caps/>
          <w:color w:val="333333"/>
          <w:sz w:val="29"/>
          <w:szCs w:val="29"/>
        </w:rPr>
      </w:pPr>
      <w:r>
        <w:rPr>
          <w:rFonts w:ascii="Arial" w:hAnsi="Arial" w:cs="Arial"/>
          <w:caps/>
          <w:color w:val="333333"/>
          <w:sz w:val="29"/>
          <w:szCs w:val="29"/>
        </w:rPr>
        <w:t>CONSIGLIO ECUMENICO DELLE CHIESE</w:t>
      </w:r>
    </w:p>
    <w:p w:rsidR="00F06D6A" w:rsidRPr="00F06D6A" w:rsidRDefault="002A570B" w:rsidP="00F06D6A">
      <w:pPr>
        <w:pBdr>
          <w:bottom w:val="single" w:sz="6" w:space="0" w:color="A2A9B1"/>
        </w:pBdr>
        <w:spacing w:after="60" w:line="240" w:lineRule="auto"/>
        <w:jc w:val="center"/>
        <w:outlineLvl w:val="0"/>
        <w:rPr>
          <w:rFonts w:ascii="Arial" w:hAnsi="Arial" w:cs="Arial"/>
          <w:b/>
          <w:color w:val="DBE5F1" w:themeColor="accent1" w:themeTint="33"/>
          <w:sz w:val="20"/>
          <w:szCs w:val="20"/>
        </w:rPr>
      </w:pPr>
      <w:hyperlink r:id="rId16" w:tgtFrame="_blank" w:history="1">
        <w:r w:rsidR="00F06D6A" w:rsidRPr="00F06D6A">
          <w:rPr>
            <w:rStyle w:val="Collegamentoipertestuale"/>
            <w:rFonts w:ascii="Arial" w:hAnsi="Arial" w:cs="Arial"/>
            <w:b/>
            <w:color w:val="DBE5F1" w:themeColor="accent1" w:themeTint="33"/>
            <w:sz w:val="20"/>
            <w:szCs w:val="20"/>
            <w:u w:val="none"/>
          </w:rPr>
          <w:t xml:space="preserve">World </w:t>
        </w:r>
        <w:proofErr w:type="spellStart"/>
        <w:r w:rsidR="00F06D6A" w:rsidRPr="00F06D6A">
          <w:rPr>
            <w:rStyle w:val="Collegamentoipertestuale"/>
            <w:rFonts w:ascii="Arial" w:hAnsi="Arial" w:cs="Arial"/>
            <w:b/>
            <w:color w:val="DBE5F1" w:themeColor="accent1" w:themeTint="33"/>
            <w:sz w:val="20"/>
            <w:szCs w:val="20"/>
            <w:u w:val="none"/>
          </w:rPr>
          <w:t>Council</w:t>
        </w:r>
        <w:proofErr w:type="spellEnd"/>
        <w:r w:rsidR="00F06D6A" w:rsidRPr="00F06D6A">
          <w:rPr>
            <w:rStyle w:val="Collegamentoipertestuale"/>
            <w:rFonts w:ascii="Arial" w:hAnsi="Arial" w:cs="Arial"/>
            <w:b/>
            <w:color w:val="DBE5F1" w:themeColor="accent1" w:themeTint="33"/>
            <w:sz w:val="20"/>
            <w:szCs w:val="20"/>
            <w:u w:val="none"/>
          </w:rPr>
          <w:t xml:space="preserve"> of </w:t>
        </w:r>
        <w:proofErr w:type="spellStart"/>
        <w:r w:rsidR="00F06D6A" w:rsidRPr="00F06D6A">
          <w:rPr>
            <w:rStyle w:val="Collegamentoipertestuale"/>
            <w:rFonts w:ascii="Arial" w:hAnsi="Arial" w:cs="Arial"/>
            <w:b/>
            <w:color w:val="DBE5F1" w:themeColor="accent1" w:themeTint="33"/>
            <w:sz w:val="20"/>
            <w:szCs w:val="20"/>
            <w:u w:val="none"/>
          </w:rPr>
          <w:t>Churches</w:t>
        </w:r>
        <w:proofErr w:type="spellEnd"/>
      </w:hyperlink>
    </w:p>
    <w:p w:rsidR="00F06D6A" w:rsidRDefault="00F06D6A" w:rsidP="00F06D6A">
      <w:pPr>
        <w:pBdr>
          <w:bottom w:val="single" w:sz="6" w:space="0" w:color="A2A9B1"/>
        </w:pBdr>
        <w:spacing w:after="60" w:line="240" w:lineRule="auto"/>
        <w:outlineLvl w:val="0"/>
        <w:rPr>
          <w:rFonts w:ascii="Arial" w:eastAsia="Times New Roman" w:hAnsi="Arial" w:cs="Arial"/>
          <w:b/>
          <w:color w:val="DBE5F1" w:themeColor="accent1" w:themeTint="33"/>
          <w:kern w:val="36"/>
          <w:sz w:val="20"/>
          <w:szCs w:val="20"/>
          <w:lang w:eastAsia="it-IT"/>
        </w:rPr>
      </w:pPr>
      <w:r w:rsidRPr="00F06D6A">
        <w:rPr>
          <w:rFonts w:ascii="Arial" w:hAnsi="Arial" w:cs="Arial"/>
          <w:color w:val="DBE5F1" w:themeColor="accent1" w:themeTint="33"/>
          <w:sz w:val="20"/>
          <w:szCs w:val="20"/>
        </w:rPr>
        <w:lastRenderedPageBreak/>
        <w:t>Nat</w:t>
      </w:r>
      <w:r>
        <w:rPr>
          <w:rFonts w:ascii="Arial" w:hAnsi="Arial" w:cs="Arial"/>
          <w:color w:val="DBE5F1" w:themeColor="accent1" w:themeTint="33"/>
          <w:sz w:val="20"/>
          <w:szCs w:val="20"/>
        </w:rPr>
        <w:t>a</w:t>
      </w:r>
      <w:r w:rsidRPr="00F06D6A">
        <w:rPr>
          <w:rFonts w:ascii="Arial" w:hAnsi="Arial" w:cs="Arial"/>
          <w:color w:val="DBE5F1" w:themeColor="accent1" w:themeTint="33"/>
          <w:sz w:val="20"/>
          <w:szCs w:val="20"/>
        </w:rPr>
        <w:t xml:space="preserve"> nel 1948 è la più vasta e diversificata delle organizzazioni del movimento ecumenico moderno al cui interno figurano la maggior parte delle chiese ortodosse, numerose chiese protestanti storiche (anglicane, luterane, riformate, metodiste, battiste) e diverse chiese indipendenti: è una «comunione di chiese» riunite per favorire la testimonianza comune e la riconciliazione fra le diverse tradizioni cristiane. Se la chiesa cattolica non appartiene al CEC, i suoi rappresentanti partecipano tuttavia a pieno titolo alla commissione</w:t>
      </w:r>
      <w:r w:rsidRPr="00F06D6A">
        <w:rPr>
          <w:rStyle w:val="apple-converted-space"/>
          <w:rFonts w:ascii="Arial" w:hAnsi="Arial" w:cs="Arial"/>
          <w:color w:val="DBE5F1" w:themeColor="accent1" w:themeTint="33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DBE5F1" w:themeColor="accent1" w:themeTint="33"/>
          <w:sz w:val="20"/>
          <w:szCs w:val="20"/>
        </w:rPr>
        <w:t>che</w:t>
      </w:r>
      <w:r w:rsidRPr="00F06D6A">
        <w:rPr>
          <w:rFonts w:ascii="Arial" w:hAnsi="Arial" w:cs="Arial"/>
          <w:color w:val="DBE5F1" w:themeColor="accent1" w:themeTint="33"/>
          <w:sz w:val="20"/>
          <w:szCs w:val="20"/>
        </w:rPr>
        <w:t xml:space="preserve"> promuove il dialogo teologico multilaterale tra le chiese.</w:t>
      </w:r>
      <w:r w:rsidRPr="00F06D6A">
        <w:rPr>
          <w:rFonts w:ascii="Arial" w:eastAsia="Times New Roman" w:hAnsi="Arial" w:cs="Arial"/>
          <w:b/>
          <w:color w:val="DBE5F1" w:themeColor="accent1" w:themeTint="33"/>
          <w:kern w:val="36"/>
          <w:sz w:val="20"/>
          <w:szCs w:val="20"/>
          <w:lang w:eastAsia="it-IT"/>
        </w:rPr>
        <w:t xml:space="preserve"> http://www.saenotizie.it/sae/consiglio-ecumenico-delle-chiese</w:t>
      </w:r>
    </w:p>
    <w:p w:rsidR="00F06D6A" w:rsidRPr="003D464D" w:rsidRDefault="00F06D6A" w:rsidP="00DF1E0A">
      <w:pPr>
        <w:spacing w:before="120" w:after="120" w:line="240" w:lineRule="auto"/>
        <w:rPr>
          <w:rFonts w:ascii="Arial" w:eastAsia="Times New Roman" w:hAnsi="Arial" w:cs="Arial"/>
          <w:color w:val="D9D9D9" w:themeColor="background1" w:themeShade="D9"/>
          <w:lang w:eastAsia="it-IT"/>
        </w:rPr>
      </w:pPr>
    </w:p>
    <w:sectPr w:rsidR="00F06D6A" w:rsidRPr="003D464D" w:rsidSect="00F648F9">
      <w:pgSz w:w="11906" w:h="16838"/>
      <w:pgMar w:top="1417" w:right="1134" w:bottom="1134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rela Roun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0D1"/>
    <w:multiLevelType w:val="multilevel"/>
    <w:tmpl w:val="FF505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061E0"/>
    <w:multiLevelType w:val="multilevel"/>
    <w:tmpl w:val="4476D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C7371"/>
    <w:multiLevelType w:val="multilevel"/>
    <w:tmpl w:val="FB64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492759"/>
    <w:multiLevelType w:val="multilevel"/>
    <w:tmpl w:val="5DF04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525086"/>
    <w:multiLevelType w:val="multilevel"/>
    <w:tmpl w:val="B2889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4966FF"/>
    <w:multiLevelType w:val="multilevel"/>
    <w:tmpl w:val="096C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26"/>
    <w:rsid w:val="00184002"/>
    <w:rsid w:val="00265478"/>
    <w:rsid w:val="002A570B"/>
    <w:rsid w:val="00352224"/>
    <w:rsid w:val="003C6BEA"/>
    <w:rsid w:val="003D464D"/>
    <w:rsid w:val="0040775F"/>
    <w:rsid w:val="0044520B"/>
    <w:rsid w:val="00655833"/>
    <w:rsid w:val="00781E06"/>
    <w:rsid w:val="0081043F"/>
    <w:rsid w:val="00862826"/>
    <w:rsid w:val="00C0735C"/>
    <w:rsid w:val="00C77AD0"/>
    <w:rsid w:val="00DF1E0A"/>
    <w:rsid w:val="00F06D6A"/>
    <w:rsid w:val="00F6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77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C77A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522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77AD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77AD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77AD0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C77AD0"/>
  </w:style>
  <w:style w:type="paragraph" w:styleId="NormaleWeb">
    <w:name w:val="Normal (Web)"/>
    <w:basedOn w:val="Normale"/>
    <w:uiPriority w:val="99"/>
    <w:semiHidden/>
    <w:unhideWhenUsed/>
    <w:rsid w:val="00C7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octoggle">
    <w:name w:val="toctoggle"/>
    <w:basedOn w:val="Carpredefinitoparagrafo"/>
    <w:rsid w:val="00C77AD0"/>
  </w:style>
  <w:style w:type="character" w:customStyle="1" w:styleId="tocnumber">
    <w:name w:val="tocnumber"/>
    <w:basedOn w:val="Carpredefinitoparagrafo"/>
    <w:rsid w:val="00C77AD0"/>
  </w:style>
  <w:style w:type="character" w:customStyle="1" w:styleId="toctext">
    <w:name w:val="toctext"/>
    <w:basedOn w:val="Carpredefinitoparagrafo"/>
    <w:rsid w:val="00C77AD0"/>
  </w:style>
  <w:style w:type="character" w:customStyle="1" w:styleId="mw-headline">
    <w:name w:val="mw-headline"/>
    <w:basedOn w:val="Carpredefinitoparagrafo"/>
    <w:rsid w:val="00C77AD0"/>
  </w:style>
  <w:style w:type="character" w:customStyle="1" w:styleId="mw-editsection">
    <w:name w:val="mw-editsection"/>
    <w:basedOn w:val="Carpredefinitoparagrafo"/>
    <w:rsid w:val="00C77AD0"/>
  </w:style>
  <w:style w:type="character" w:customStyle="1" w:styleId="mw-editsection-bracket">
    <w:name w:val="mw-editsection-bracket"/>
    <w:basedOn w:val="Carpredefinitoparagrafo"/>
    <w:rsid w:val="00C77AD0"/>
  </w:style>
  <w:style w:type="character" w:customStyle="1" w:styleId="mw-editsection-divider">
    <w:name w:val="mw-editsection-divider"/>
    <w:basedOn w:val="Carpredefinitoparagrafo"/>
    <w:rsid w:val="00C77A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7AD0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522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3522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77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C77A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522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77AD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77AD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77AD0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C77AD0"/>
  </w:style>
  <w:style w:type="paragraph" w:styleId="NormaleWeb">
    <w:name w:val="Normal (Web)"/>
    <w:basedOn w:val="Normale"/>
    <w:uiPriority w:val="99"/>
    <w:semiHidden/>
    <w:unhideWhenUsed/>
    <w:rsid w:val="00C7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octoggle">
    <w:name w:val="toctoggle"/>
    <w:basedOn w:val="Carpredefinitoparagrafo"/>
    <w:rsid w:val="00C77AD0"/>
  </w:style>
  <w:style w:type="character" w:customStyle="1" w:styleId="tocnumber">
    <w:name w:val="tocnumber"/>
    <w:basedOn w:val="Carpredefinitoparagrafo"/>
    <w:rsid w:val="00C77AD0"/>
  </w:style>
  <w:style w:type="character" w:customStyle="1" w:styleId="toctext">
    <w:name w:val="toctext"/>
    <w:basedOn w:val="Carpredefinitoparagrafo"/>
    <w:rsid w:val="00C77AD0"/>
  </w:style>
  <w:style w:type="character" w:customStyle="1" w:styleId="mw-headline">
    <w:name w:val="mw-headline"/>
    <w:basedOn w:val="Carpredefinitoparagrafo"/>
    <w:rsid w:val="00C77AD0"/>
  </w:style>
  <w:style w:type="character" w:customStyle="1" w:styleId="mw-editsection">
    <w:name w:val="mw-editsection"/>
    <w:basedOn w:val="Carpredefinitoparagrafo"/>
    <w:rsid w:val="00C77AD0"/>
  </w:style>
  <w:style w:type="character" w:customStyle="1" w:styleId="mw-editsection-bracket">
    <w:name w:val="mw-editsection-bracket"/>
    <w:basedOn w:val="Carpredefinitoparagrafo"/>
    <w:rsid w:val="00C77AD0"/>
  </w:style>
  <w:style w:type="character" w:customStyle="1" w:styleId="mw-editsection-divider">
    <w:name w:val="mw-editsection-divider"/>
    <w:basedOn w:val="Carpredefinitoparagrafo"/>
    <w:rsid w:val="00C77A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7AD0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522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352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1041">
                  <w:marLeft w:val="1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18798">
                  <w:marLeft w:val="0"/>
                  <w:marRight w:val="0"/>
                  <w:marTop w:val="0"/>
                  <w:marBottom w:val="0"/>
                  <w:divBdr>
                    <w:top w:val="single" w:sz="6" w:space="5" w:color="A2A9B1"/>
                    <w:left w:val="single" w:sz="6" w:space="5" w:color="A2A9B1"/>
                    <w:bottom w:val="single" w:sz="6" w:space="5" w:color="A2A9B1"/>
                    <w:right w:val="single" w:sz="6" w:space="5" w:color="A2A9B1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1988" TargetMode="External"/><Relationship Id="rId13" Type="http://schemas.openxmlformats.org/officeDocument/2006/relationships/hyperlink" Target="https://it.wikipedia.org/wiki/198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it.wikipedia.org/wiki/Papa_Giovanni_Paolo_I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ikoumene.org/en/about-u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t.wikipedia.org/wiki/Cattolicesimo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s://it.wikipedia.org/wiki/Papa_Paolo_V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t.wikipedia.org/wiki/1964" TargetMode="External"/><Relationship Id="rId14" Type="http://schemas.openxmlformats.org/officeDocument/2006/relationships/hyperlink" Target="https://it.wikipedia.org/wiki/199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2DF36-14F3-4C1B-ACE6-56135BC3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Beatrice</cp:lastModifiedBy>
  <cp:revision>2</cp:revision>
  <dcterms:created xsi:type="dcterms:W3CDTF">2017-01-19T09:17:00Z</dcterms:created>
  <dcterms:modified xsi:type="dcterms:W3CDTF">2017-01-19T09:17:00Z</dcterms:modified>
</cp:coreProperties>
</file>